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4193065B"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4E37FD">
              <w:rPr>
                <w:rFonts w:ascii="Aptos Narrow" w:hAnsi="Aptos Narrow"/>
                <w:color w:val="000000"/>
                <w:sz w:val="20"/>
                <w:szCs w:val="20"/>
              </w:rPr>
              <w:t>LS004G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1E0D51AA" w:rsidR="001A132A" w:rsidRDefault="009959C9"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445EA564"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52E64785" w:rsidR="001A132A" w:rsidRDefault="00405218"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3963562A"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235291C4" w:rsidR="004B521F" w:rsidRPr="00D40BEB" w:rsidRDefault="004A731A" w:rsidP="004B521F">
            <w:pPr>
              <w:spacing w:line="276" w:lineRule="auto"/>
              <w:rPr>
                <w:rFonts w:cstheme="minorHAnsi"/>
                <w:sz w:val="20"/>
                <w:szCs w:val="20"/>
              </w:rPr>
            </w:pPr>
            <w:r w:rsidRPr="004A731A">
              <w:rPr>
                <w:rFonts w:cstheme="minorHAnsi"/>
                <w:sz w:val="16"/>
                <w:szCs w:val="16"/>
              </w:rPr>
              <w:t xml:space="preserve">Ensure all long hair is tied back and loose clothing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Can anyone be crushed due to coming in contact with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Can anyone be cut, stabbed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220A1B7F"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436A6B7"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27489521" w:rsidR="004B521F" w:rsidRPr="001D6DFA" w:rsidRDefault="004A731A" w:rsidP="009B1268">
            <w:pPr>
              <w:spacing w:line="276" w:lineRule="auto"/>
              <w:rPr>
                <w:rFonts w:cstheme="minorHAnsi"/>
                <w:sz w:val="16"/>
                <w:szCs w:val="16"/>
              </w:rPr>
            </w:pPr>
            <w:r>
              <w:rPr>
                <w:rFonts w:cstheme="minorHAnsi"/>
                <w:sz w:val="16"/>
                <w:szCs w:val="16"/>
              </w:rPr>
              <w:t>Inappropriate use of the tool could cause serious injury if contact is made with the body</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5082D39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4D07BA2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3728DD24" w:rsidR="004B521F"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6218075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0E07BCF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0C9D4082" w:rsidR="001D6DFA"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12459648"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1172DD87"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05C9AC56" w:rsidR="001D6DFA" w:rsidRPr="00E302B1" w:rsidRDefault="009959C9" w:rsidP="009B1268">
            <w:pPr>
              <w:spacing w:line="276" w:lineRule="auto"/>
              <w:rPr>
                <w:rFonts w:cstheme="minorHAnsi"/>
                <w:sz w:val="16"/>
                <w:szCs w:val="16"/>
              </w:rPr>
            </w:pPr>
            <w:r>
              <w:rPr>
                <w:rFonts w:cstheme="minorHAnsi"/>
                <w:sz w:val="16"/>
                <w:szCs w:val="16"/>
              </w:rPr>
              <w:t>Impact in cutting object can cause unexpected movement resulting in injury</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26FC99EE"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2CDBDB93"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43A9F4C6"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in close proximity to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62FC330" w:rsidR="00E302B1" w:rsidRPr="001D6DFA" w:rsidRDefault="009959C9" w:rsidP="00E302B1">
            <w:pPr>
              <w:spacing w:line="276" w:lineRule="auto"/>
              <w:rPr>
                <w:rFonts w:cstheme="minorHAnsi"/>
                <w:sz w:val="16"/>
                <w:szCs w:val="16"/>
              </w:rPr>
            </w:pPr>
            <w:r>
              <w:rPr>
                <w:rFonts w:cstheme="minorHAnsi"/>
                <w:sz w:val="16"/>
                <w:szCs w:val="16"/>
              </w:rPr>
              <w:t>Incorrectly installed blades, or uneven work surfaces can cause injury</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Can anyone come into contact with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 injury or disorder - 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123B06"/>
    <w:rsid w:val="001A132A"/>
    <w:rsid w:val="001C2C51"/>
    <w:rsid w:val="001D6DFA"/>
    <w:rsid w:val="001E6E53"/>
    <w:rsid w:val="00214A35"/>
    <w:rsid w:val="00273DF8"/>
    <w:rsid w:val="002B76EC"/>
    <w:rsid w:val="0039367B"/>
    <w:rsid w:val="003A7CC8"/>
    <w:rsid w:val="00405218"/>
    <w:rsid w:val="00415CEC"/>
    <w:rsid w:val="00435A6B"/>
    <w:rsid w:val="004A731A"/>
    <w:rsid w:val="004B521F"/>
    <w:rsid w:val="004C46CB"/>
    <w:rsid w:val="004E18A9"/>
    <w:rsid w:val="004E37FD"/>
    <w:rsid w:val="00531A53"/>
    <w:rsid w:val="00591585"/>
    <w:rsid w:val="005A68FB"/>
    <w:rsid w:val="00630ED1"/>
    <w:rsid w:val="006A6F7A"/>
    <w:rsid w:val="0070093E"/>
    <w:rsid w:val="00710777"/>
    <w:rsid w:val="007B7C52"/>
    <w:rsid w:val="0081725D"/>
    <w:rsid w:val="00891B15"/>
    <w:rsid w:val="0090194E"/>
    <w:rsid w:val="009371E4"/>
    <w:rsid w:val="009959C9"/>
    <w:rsid w:val="009B1268"/>
    <w:rsid w:val="009D2FBE"/>
    <w:rsid w:val="009E74E6"/>
    <w:rsid w:val="00A03B26"/>
    <w:rsid w:val="00AA40DF"/>
    <w:rsid w:val="00AD1CD0"/>
    <w:rsid w:val="00AD505F"/>
    <w:rsid w:val="00B32BD2"/>
    <w:rsid w:val="00BD2B8A"/>
    <w:rsid w:val="00BE0A1B"/>
    <w:rsid w:val="00BE27D1"/>
    <w:rsid w:val="00BF60E4"/>
    <w:rsid w:val="00CA1CB5"/>
    <w:rsid w:val="00CA49DE"/>
    <w:rsid w:val="00D160A5"/>
    <w:rsid w:val="00D40BEB"/>
    <w:rsid w:val="00D721FB"/>
    <w:rsid w:val="00D90F96"/>
    <w:rsid w:val="00DA0D0F"/>
    <w:rsid w:val="00DE4C0C"/>
    <w:rsid w:val="00E13F21"/>
    <w:rsid w:val="00E302B1"/>
    <w:rsid w:val="00EC4F57"/>
    <w:rsid w:val="00ED33DB"/>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3</cp:revision>
  <cp:lastPrinted>2024-05-09T23:23:00Z</cp:lastPrinted>
  <dcterms:created xsi:type="dcterms:W3CDTF">2024-05-23T01:39:00Z</dcterms:created>
  <dcterms:modified xsi:type="dcterms:W3CDTF">2024-05-23T01:41:00Z</dcterms:modified>
</cp:coreProperties>
</file>